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center"/>
      </w:pPr>
      <w:r>
        <w:drawing>
          <wp:inline distT="0" distB="0" distL="0" distR="0">
            <wp:extent cx="1714500" cy="457200"/>
            <wp:effectExtent t="0" r="0" b="0" l="0"/>
            <wp:docPr id="1" name="CofounderFit logo" descr="CofounderFit logo" title="CofounderF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b/>
          <w:bCs/>
          <w:color w:val="111827"/>
          <w:sz w:val="34"/>
          <w:szCs w:val="34"/>
        </w:rPr>
        <w:t xml:space="preserve">FOUNDER VESTING ACCELERATION AGREEMENT</w:t>
      </w:r>
    </w:p>
    <w:p>
      <w:pPr>
        <w:spacing w:after="360"/>
        <w:jc w:val="center"/>
      </w:pPr>
      <w:r>
        <w:rPr>
          <w:color w:val="6B7280"/>
          <w:sz w:val="20"/>
          <w:szCs w:val="20"/>
        </w:rPr>
        <w:t xml:space="preserve">Prepared by CofounderFit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Prepare a precise discussion draft that a qualified lawyer can adapt to the company, documents, and jurisdiction.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Audience: Founders reviewing how a sale or post-transaction termination could affect unvested founder equity.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Generated: August 25, 2026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1. Existing vesting terms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Acceleration cannot be evaluated safely without identifying the current grants, schedules, and governing documents.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Founder and grant: [Name and security]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Vesting start, cliff, and schedule: [Terms]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Vested and unvested amount: [Amount as of date]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Governing documents: [Document names]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2. Acceleration event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 tightly defined event reduces uncertainty about whether a financing, asset sale, merger, or control change qualifies.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Potential qualifying transaction: [Definition]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Excluded events: [List]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Effective event date: [Rule]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Acceleration amount or fraction: [Proposed term]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3. Single versus double trigger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Choosing one or two triggers changes the balance between founder protection and the company's retention needs after a transaction.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Single-trigger proposal: [None, partial, or full]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Second trigger required: [Termination or role change]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Trigger window: [Period after transaction]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Reason for selected approach: [Rationale]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4. Good/bad leaver interaction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Leaver terms must align with acceleration so the same departure is not treated inconsistently across company documents.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Good-leaver circumstances: [Proposed definition]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Bad-leaver circumstances: [Proposed definition]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Effect on vested equity: [Proposed treatment]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Effect on unvested equity: [Proposed treatment]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5. Approval and amendment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Clear authority and amendment rules prevent side promises from conflicting with board, shareholder, or grant approvals.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Required company approval: [Board or other body]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Required founder or shareholder approval: [Threshold]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Document priority if terms conflict: [For counsel]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Amendment and notice method: [Process]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6. Legal review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Qualified review is essential because enforceability, tax effects, securities rules, and existing documents vary by jurisdiction and company.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Reviewing counsel: [Name or firm]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Jurisdictions to review: [Locations]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Tax advice requested: [Scope]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Documents to reconcile: [List]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Legal disclaimer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This draft is for informational purposes and does not constitute legal, tax, or financial advice. It requires jurisdiction-specific review by qualified legal counsel before use or signature.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4"/>
          <w:szCs w:val="24"/>
        </w:rPr>
        <w:t xml:space="preserve">Next step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Use this document to structure the conversation, then validate cofounder compatibility before signing final terms or splitting equity.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Assessment: https://www.cofounderfit.com/assessment</w:t>
      </w:r>
    </w:p>
    <w:sectPr>
      <w:type w:val="continuous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1535d596001bbea071bf5a35116e9b74d8997f0d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Founder Vesting Acceleration Agreement</dc:title>
  <dc:subject>en; public-template-v1; founder-vesting-acceleration-agreement; sha256:3c42569e9881d64e915b5482ddff52b44563eae2090fbaf957e735b54acb662e</dc:subject>
  <dc:creator>CofounderFit</dc:creator>
  <dc:description>Draft founder vesting acceleration terms covering events, triggers, leaver treatment, approvals, and legal review.</dc:description>
  <cp:lastModifiedBy>CofounderFit (en)</cp:lastModifiedBy>
  <cp:revision>1</cp:revision>
  <dcterms:created xsi:type="dcterms:W3CDTF">2026-08-25T15:11:35.664Z</dcterms:created>
  <dcterms:modified xsi:type="dcterms:W3CDTF">2026-08-25T15:11:35.664Z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