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300"/>
        <w:jc w:val="center"/>
      </w:pPr>
      <w:r>
        <w:drawing>
          <wp:inline distT="0" distB="0" distL="0" distR="0">
            <wp:extent cx="1714500" cy="457200"/>
            <wp:effectExtent t="0" r="0" b="0" l="0"/>
            <wp:docPr id="1" name="CofounderFit logo" descr="CofounderFit logo" title="CofounderF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b/>
          <w:bCs/>
          <w:color w:val="111827"/>
          <w:sz w:val="34"/>
          <w:szCs w:val="34"/>
        </w:rPr>
        <w:t xml:space="preserve">FOUNDER CONTRIBUTION VALUATION WORKSHEET</w:t>
      </w:r>
    </w:p>
    <w:p>
      <w:pPr>
        <w:spacing w:after="360"/>
        <w:jc w:val="center"/>
      </w:pPr>
      <w:r>
        <w:rPr>
          <w:color w:val="6B7280"/>
          <w:sz w:val="20"/>
          <w:szCs w:val="20"/>
        </w:rPr>
        <w:t xml:space="preserve">Prepared by CofounderFit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Create a shared evidence base for a difficult valuation conversation without pretending that one score determines ownership.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Audience: Founder teams preparing an equity discussion and seeking a transparent comparison of different contribution types.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Generated: August 26, 2026</w:t>
      </w:r>
    </w:p>
    <w:p>
      <w:pPr>
        <w:pStyle w:val="Heading2"/>
        <w:spacing w:after="180" w:before="360"/>
      </w:pPr>
      <w:r>
        <w:rPr>
          <w:b/>
          <w:bCs/>
          <w:color w:val="1F2937"/>
          <w:sz w:val="26"/>
          <w:szCs w:val="26"/>
        </w:rPr>
        <w:t xml:space="preserve">1. Contribution categories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Agreed categories reduce bias by making founders evaluate the same kinds of contribution rather than defending only their own strengths.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Time and execution category: [Definition]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Domain expertise category: [Definition]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Capital and financial risk category: [Definition]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IP, network, or distribution category: [Definition]</w:t>
      </w:r>
    </w:p>
    <w:p>
      <w:pPr>
        <w:pStyle w:val="Heading2"/>
        <w:spacing w:after="180" w:before="360"/>
      </w:pPr>
      <w:r>
        <w:rPr>
          <w:b/>
          <w:bCs/>
          <w:color w:val="1F2937"/>
          <w:sz w:val="26"/>
          <w:szCs w:val="26"/>
        </w:rPr>
        <w:t xml:space="preserve">2. Evidence period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A defined evidence window keeps old promises and one-off efforts from outweighing recent, relevant founder behavior.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Measurement start and end: [Dates]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Eligible work products: [Examples]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Evidence sources: [Logs, documents, outcomes]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Excluded claims: [Examples]</w:t>
      </w:r>
    </w:p>
    <w:p>
      <w:pPr>
        <w:pStyle w:val="Heading2"/>
        <w:spacing w:after="180" w:before="360"/>
      </w:pPr>
      <w:r>
        <w:rPr>
          <w:b/>
          <w:bCs/>
          <w:color w:val="1F2937"/>
          <w:sz w:val="26"/>
          <w:szCs w:val="26"/>
        </w:rPr>
        <w:t xml:space="preserve">3. Weighting method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Weights expose priorities so the team can debate what matters before seeing which founder benefits from the method.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Category weights: [Percentages]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Scoring scale: [Range and anchors]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How uncertainty is marked: [Rule]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Who validates evidence: [Names or advisor]</w:t>
      </w:r>
    </w:p>
    <w:p>
      <w:pPr>
        <w:pStyle w:val="Heading2"/>
        <w:spacing w:after="180" w:before="360"/>
      </w:pPr>
      <w:r>
        <w:rPr>
          <w:b/>
          <w:bCs/>
          <w:color w:val="1F2937"/>
          <w:sz w:val="26"/>
          <w:szCs w:val="26"/>
        </w:rPr>
        <w:t xml:space="preserve">4. Founder scoring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Independent scoring followed by comparison reveals assumption gaps more clearly than negotiating a single number in real time.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Founder scored: [Name]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Scores by category: [Scores]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Evidence supporting each score: [References]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Confidence level: [High, medium, or low]</w:t>
      </w:r>
    </w:p>
    <w:p>
      <w:pPr>
        <w:pStyle w:val="Heading2"/>
        <w:spacing w:after="180" w:before="360"/>
      </w:pPr>
      <w:r>
        <w:rPr>
          <w:b/>
          <w:bCs/>
          <w:color w:val="1F2937"/>
          <w:sz w:val="26"/>
          <w:szCs w:val="26"/>
        </w:rPr>
        <w:t xml:space="preserve">5. Gap discussion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The largest scoring gaps deserve attention because they often reveal different definitions of effort, impact, or risk.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Largest score difference: [Category]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Underlying assumption: [Difference]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Evidence still needed: [Item]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Experiment or review to resolve it: [Action]</w:t>
      </w:r>
    </w:p>
    <w:p>
      <w:pPr>
        <w:pStyle w:val="Heading2"/>
        <w:spacing w:after="180" w:before="360"/>
      </w:pPr>
      <w:r>
        <w:rPr>
          <w:b/>
          <w:bCs/>
          <w:color w:val="1F2937"/>
          <w:sz w:val="26"/>
          <w:szCs w:val="26"/>
        </w:rPr>
        <w:t xml:space="preserve">6. Recorded conclusion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Recording the conclusion and its limits prevents a discussion aid from being mistaken for a binding ownership decision.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Shared conclusion: [Summary]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Questions left unresolved: [List]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Advisor review required: [Yes and scope]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Next decision date: [Date]</w:t>
      </w:r>
    </w:p>
    <w:p>
      <w:pPr>
        <w:pStyle w:val="Heading2"/>
        <w:spacing w:after="180" w:before="360"/>
      </w:pPr>
      <w:r>
        <w:rPr>
          <w:b/>
          <w:bCs/>
          <w:color w:val="1F2937"/>
          <w:sz w:val="26"/>
          <w:szCs w:val="26"/>
        </w:rPr>
        <w:t xml:space="preserve">Disclaimer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This worksheet is a decision aid, not legal, tax, or financial advice. Its scores do not establish value or ownership; seek qualified advice before acting.</w:t>
      </w:r>
    </w:p>
    <w:p>
      <w:pPr>
        <w:pStyle w:val="Heading2"/>
        <w:spacing w:after="180" w:before="360"/>
      </w:pPr>
      <w:r>
        <w:rPr>
          <w:b/>
          <w:bCs/>
          <w:color w:val="1F2937"/>
          <w:sz w:val="24"/>
          <w:szCs w:val="24"/>
        </w:rPr>
        <w:t xml:space="preserve">Next step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Use this document to structure the conversation, then validate cofounder compatibility before signing final terms or splitting equity.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Assessment: https://www.cofounderfit.com/assessment</w:t>
      </w:r>
    </w:p>
    <w:sectPr>
      <w:type w:val="continuous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1535d596001bbea071bf5a35116e9b74d8997f0d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Founder Contribution Valuation Worksheet</dc:title>
  <dc:subject>en; public-template-v1; founder-contribution-valuation-worksheet; sha256:3936801425c466f228e3524522b88cd08b6b79f9cc87ca626a47a04ee4bc31e6</dc:subject>
  <dc:creator>CofounderFit</dc:creator>
  <dc:description>Compare founder time, expertise, capital, relationships, and execution evidence with a structured contribution valuation worksheet.</dc:description>
  <cp:lastModifiedBy>CofounderFit (en)</cp:lastModifiedBy>
  <cp:revision>1</cp:revision>
  <dcterms:created xsi:type="dcterms:W3CDTF">2026-08-26T01:32:18.277Z</dcterms:created>
  <dcterms:modified xsi:type="dcterms:W3CDTF">2026-08-26T01:32:18.277Z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