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300"/>
        <w:jc w:val="center"/>
      </w:pPr>
      <w:r>
        <w:drawing>
          <wp:inline distT="0" distB="0" distL="0" distR="0">
            <wp:extent cx="1714500" cy="457200"/>
            <wp:effectExtent t="0" r="0" b="0" l="0"/>
            <wp:docPr id="1" name="CofounderFit logo" descr="CofounderFit logo" title="CofounderFi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b/>
          <w:bCs/>
          <w:color w:val="111827"/>
          <w:sz w:val="34"/>
          <w:szCs w:val="34"/>
        </w:rPr>
        <w:t xml:space="preserve">FOUNDER COMMUNICATION NORMS TEMPLATE</w:t>
      </w:r>
    </w:p>
    <w:p>
      <w:pPr>
        <w:spacing w:after="360"/>
        <w:jc w:val="center"/>
      </w:pPr>
      <w:r>
        <w:rPr>
          <w:color w:val="6B7280"/>
          <w:sz w:val="20"/>
          <w:szCs w:val="20"/>
        </w:rPr>
        <w:t xml:space="preserve">Prepared by CofounderFit</w:t>
      </w:r>
    </w:p>
    <w:p>
      <w:pPr>
        <w:spacing w:after="180"/>
      </w:pPr>
      <w:r>
        <w:rPr>
          <w:color w:val="374151"/>
          <w:sz w:val="22"/>
          <w:szCs w:val="22"/>
        </w:rPr>
        <w:t xml:space="preserve">Replace assumptions about responsiveness and tone with editable norms the founders can test and improve.</w:t>
      </w:r>
    </w:p>
    <w:p>
      <w:pPr>
        <w:spacing w:after="180"/>
      </w:pPr>
      <w:r>
        <w:rPr>
          <w:color w:val="374151"/>
          <w:sz w:val="22"/>
          <w:szCs w:val="22"/>
        </w:rPr>
        <w:t xml:space="preserve">Audience: Founder teams who work at different speeds, locations, or communication styles and need explicit expectations.</w:t>
      </w:r>
    </w:p>
    <w:p>
      <w:pPr>
        <w:spacing w:after="180"/>
      </w:pPr>
      <w:r>
        <w:rPr>
          <w:color w:val="374151"/>
          <w:sz w:val="22"/>
          <w:szCs w:val="22"/>
        </w:rPr>
        <w:t xml:space="preserve">Generated: August 24, 2026</w:t>
      </w:r>
    </w:p>
    <w:p>
      <w:pPr>
        <w:pStyle w:val="Heading2"/>
        <w:spacing w:after="180" w:before="360"/>
      </w:pPr>
      <w:r>
        <w:rPr>
          <w:b/>
          <w:bCs/>
          <w:color w:val="1F2937"/>
          <w:sz w:val="26"/>
          <w:szCs w:val="26"/>
        </w:rPr>
        <w:t xml:space="preserve">1. Channel map</w:t>
      </w:r>
    </w:p>
    <w:p>
      <w:pPr>
        <w:spacing w:after="180"/>
      </w:pPr>
      <w:r>
        <w:rPr>
          <w:color w:val="374151"/>
          <w:sz w:val="22"/>
          <w:szCs w:val="22"/>
        </w:rPr>
        <w:t xml:space="preserve">Assigning a purpose to each channel keeps urgent requests visible and important context from being scattered.</w:t>
      </w:r>
    </w:p>
    <w:p>
      <w:pPr>
        <w:pStyle w:val="ListParagraph"/>
        <w:numPr>
          <w:ilvl w:val="0"/>
          <w:numId w:val="1"/>
        </w:numPr>
        <w:spacing w:after="120"/>
      </w:pPr>
      <w:r>
        <w:rPr>
          <w:color w:val="374151"/>
          <w:sz w:val="22"/>
          <w:szCs w:val="22"/>
        </w:rPr>
        <w:t xml:space="preserve">Urgent operational channel: [Channel]</w:t>
      </w:r>
    </w:p>
    <w:p>
      <w:pPr>
        <w:pStyle w:val="ListParagraph"/>
        <w:numPr>
          <w:ilvl w:val="0"/>
          <w:numId w:val="1"/>
        </w:numPr>
        <w:spacing w:after="120"/>
      </w:pPr>
      <w:r>
        <w:rPr>
          <w:color w:val="374151"/>
          <w:sz w:val="22"/>
          <w:szCs w:val="22"/>
        </w:rPr>
        <w:t xml:space="preserve">Decision and context channel: [Channel]</w:t>
      </w:r>
    </w:p>
    <w:p>
      <w:pPr>
        <w:pStyle w:val="ListParagraph"/>
        <w:numPr>
          <w:ilvl w:val="0"/>
          <w:numId w:val="1"/>
        </w:numPr>
        <w:spacing w:after="120"/>
      </w:pPr>
      <w:r>
        <w:rPr>
          <w:color w:val="374151"/>
          <w:sz w:val="22"/>
          <w:szCs w:val="22"/>
        </w:rPr>
        <w:t xml:space="preserve">Routine update channel: [Channel]</w:t>
      </w:r>
    </w:p>
    <w:p>
      <w:pPr>
        <w:pStyle w:val="ListParagraph"/>
        <w:numPr>
          <w:ilvl w:val="0"/>
          <w:numId w:val="1"/>
        </w:numPr>
        <w:spacing w:after="120"/>
      </w:pPr>
      <w:r>
        <w:rPr>
          <w:color w:val="374151"/>
          <w:sz w:val="22"/>
          <w:szCs w:val="22"/>
        </w:rPr>
        <w:t xml:space="preserve">Private founder topic channel: [Channel]</w:t>
      </w:r>
    </w:p>
    <w:p>
      <w:pPr>
        <w:pStyle w:val="Heading2"/>
        <w:spacing w:after="180" w:before="360"/>
      </w:pPr>
      <w:r>
        <w:rPr>
          <w:b/>
          <w:bCs/>
          <w:color w:val="1F2937"/>
          <w:sz w:val="26"/>
          <w:szCs w:val="26"/>
        </w:rPr>
        <w:t xml:space="preserve">2. Response expectations</w:t>
      </w:r>
    </w:p>
    <w:p>
      <w:pPr>
        <w:spacing w:after="180"/>
      </w:pPr>
      <w:r>
        <w:rPr>
          <w:color w:val="374151"/>
          <w:sz w:val="22"/>
          <w:szCs w:val="22"/>
        </w:rPr>
        <w:t xml:space="preserve">Shared response windows reduce anxiety without creating an unrealistic expectation of constant availability.</w:t>
      </w:r>
    </w:p>
    <w:p>
      <w:pPr>
        <w:pStyle w:val="ListParagraph"/>
        <w:numPr>
          <w:ilvl w:val="0"/>
          <w:numId w:val="1"/>
        </w:numPr>
        <w:spacing w:after="120"/>
      </w:pPr>
      <w:r>
        <w:rPr>
          <w:color w:val="374151"/>
          <w:sz w:val="22"/>
          <w:szCs w:val="22"/>
        </w:rPr>
        <w:t xml:space="preserve">Urgent response window: [Time and hours]</w:t>
      </w:r>
    </w:p>
    <w:p>
      <w:pPr>
        <w:pStyle w:val="ListParagraph"/>
        <w:numPr>
          <w:ilvl w:val="0"/>
          <w:numId w:val="1"/>
        </w:numPr>
        <w:spacing w:after="120"/>
      </w:pPr>
      <w:r>
        <w:rPr>
          <w:color w:val="374151"/>
          <w:sz w:val="22"/>
          <w:szCs w:val="22"/>
        </w:rPr>
        <w:t xml:space="preserve">Routine response window: [Time]</w:t>
      </w:r>
    </w:p>
    <w:p>
      <w:pPr>
        <w:pStyle w:val="ListParagraph"/>
        <w:numPr>
          <w:ilvl w:val="0"/>
          <w:numId w:val="1"/>
        </w:numPr>
        <w:spacing w:after="120"/>
      </w:pPr>
      <w:r>
        <w:rPr>
          <w:color w:val="374151"/>
          <w:sz w:val="22"/>
          <w:szCs w:val="22"/>
        </w:rPr>
        <w:t xml:space="preserve">Focus or offline periods: [Schedule]</w:t>
      </w:r>
    </w:p>
    <w:p>
      <w:pPr>
        <w:pStyle w:val="ListParagraph"/>
        <w:numPr>
          <w:ilvl w:val="0"/>
          <w:numId w:val="1"/>
        </w:numPr>
        <w:spacing w:after="120"/>
      </w:pPr>
      <w:r>
        <w:rPr>
          <w:color w:val="374151"/>
          <w:sz w:val="22"/>
          <w:szCs w:val="22"/>
        </w:rPr>
        <w:t xml:space="preserve">How to signal availability changes: [Method]</w:t>
      </w:r>
    </w:p>
    <w:p>
      <w:pPr>
        <w:pStyle w:val="Heading2"/>
        <w:spacing w:after="180" w:before="360"/>
      </w:pPr>
      <w:r>
        <w:rPr>
          <w:b/>
          <w:bCs/>
          <w:color w:val="1F2937"/>
          <w:sz w:val="26"/>
          <w:szCs w:val="26"/>
        </w:rPr>
        <w:t xml:space="preserve">3. Written context</w:t>
      </w:r>
    </w:p>
    <w:p>
      <w:pPr>
        <w:spacing w:after="180"/>
      </w:pPr>
      <w:r>
        <w:rPr>
          <w:color w:val="374151"/>
          <w:sz w:val="22"/>
          <w:szCs w:val="22"/>
        </w:rPr>
        <w:t xml:space="preserve">A minimum context standard helps founders make faster decisions and avoids re-litigating conversations that were never recorded.</w:t>
      </w:r>
    </w:p>
    <w:p>
      <w:pPr>
        <w:pStyle w:val="ListParagraph"/>
        <w:numPr>
          <w:ilvl w:val="0"/>
          <w:numId w:val="1"/>
        </w:numPr>
        <w:spacing w:after="120"/>
      </w:pPr>
      <w:r>
        <w:rPr>
          <w:color w:val="374151"/>
          <w:sz w:val="22"/>
          <w:szCs w:val="22"/>
        </w:rPr>
        <w:t xml:space="preserve">Required decision summary: [Format]</w:t>
      </w:r>
    </w:p>
    <w:p>
      <w:pPr>
        <w:pStyle w:val="ListParagraph"/>
        <w:numPr>
          <w:ilvl w:val="0"/>
          <w:numId w:val="1"/>
        </w:numPr>
        <w:spacing w:after="120"/>
      </w:pPr>
      <w:r>
        <w:rPr>
          <w:color w:val="374151"/>
          <w:sz w:val="22"/>
          <w:szCs w:val="22"/>
        </w:rPr>
        <w:t xml:space="preserve">Evidence or links to include: [Requirements]</w:t>
      </w:r>
    </w:p>
    <w:p>
      <w:pPr>
        <w:pStyle w:val="ListParagraph"/>
        <w:numPr>
          <w:ilvl w:val="0"/>
          <w:numId w:val="1"/>
        </w:numPr>
        <w:spacing w:after="120"/>
      </w:pPr>
      <w:r>
        <w:rPr>
          <w:color w:val="374151"/>
          <w:sz w:val="22"/>
          <w:szCs w:val="22"/>
        </w:rPr>
        <w:t xml:space="preserve">Owner and deadline notation: [Format]</w:t>
      </w:r>
    </w:p>
    <w:p>
      <w:pPr>
        <w:pStyle w:val="ListParagraph"/>
        <w:numPr>
          <w:ilvl w:val="0"/>
          <w:numId w:val="1"/>
        </w:numPr>
        <w:spacing w:after="120"/>
      </w:pPr>
      <w:r>
        <w:rPr>
          <w:color w:val="374151"/>
          <w:sz w:val="22"/>
          <w:szCs w:val="22"/>
        </w:rPr>
        <w:t xml:space="preserve">Location of final records: [Location]</w:t>
      </w:r>
    </w:p>
    <w:p>
      <w:pPr>
        <w:pStyle w:val="Heading2"/>
        <w:spacing w:after="180" w:before="360"/>
      </w:pPr>
      <w:r>
        <w:rPr>
          <w:b/>
          <w:bCs/>
          <w:color w:val="1F2937"/>
          <w:sz w:val="26"/>
          <w:szCs w:val="26"/>
        </w:rPr>
        <w:t xml:space="preserve">4. Disagreement norms</w:t>
      </w:r>
    </w:p>
    <w:p>
      <w:pPr>
        <w:spacing w:after="180"/>
      </w:pPr>
      <w:r>
        <w:rPr>
          <w:color w:val="374151"/>
          <w:sz w:val="22"/>
          <w:szCs w:val="22"/>
        </w:rPr>
        <w:t xml:space="preserve">Explicit disagreement norms make directness safer and set limits on behavior that damages the relationship.</w:t>
      </w:r>
    </w:p>
    <w:p>
      <w:pPr>
        <w:pStyle w:val="ListParagraph"/>
        <w:numPr>
          <w:ilvl w:val="0"/>
          <w:numId w:val="1"/>
        </w:numPr>
        <w:spacing w:after="120"/>
      </w:pPr>
      <w:r>
        <w:rPr>
          <w:color w:val="374151"/>
          <w:sz w:val="22"/>
          <w:szCs w:val="22"/>
        </w:rPr>
        <w:t xml:space="preserve">How to challenge an idea: [Preferred format]</w:t>
      </w:r>
    </w:p>
    <w:p>
      <w:pPr>
        <w:pStyle w:val="ListParagraph"/>
        <w:numPr>
          <w:ilvl w:val="0"/>
          <w:numId w:val="1"/>
        </w:numPr>
        <w:spacing w:after="120"/>
      </w:pPr>
      <w:r>
        <w:rPr>
          <w:color w:val="374151"/>
          <w:sz w:val="22"/>
          <w:szCs w:val="22"/>
        </w:rPr>
        <w:t xml:space="preserve">Behaviors that are out of bounds: [List]</w:t>
      </w:r>
    </w:p>
    <w:p>
      <w:pPr>
        <w:pStyle w:val="ListParagraph"/>
        <w:numPr>
          <w:ilvl w:val="0"/>
          <w:numId w:val="1"/>
        </w:numPr>
        <w:spacing w:after="120"/>
      </w:pPr>
      <w:r>
        <w:rPr>
          <w:color w:val="374151"/>
          <w:sz w:val="22"/>
          <w:szCs w:val="22"/>
        </w:rPr>
        <w:t xml:space="preserve">When to move from text to a call: [Trigger]</w:t>
      </w:r>
    </w:p>
    <w:p>
      <w:pPr>
        <w:pStyle w:val="ListParagraph"/>
        <w:numPr>
          <w:ilvl w:val="0"/>
          <w:numId w:val="1"/>
        </w:numPr>
        <w:spacing w:after="120"/>
      </w:pPr>
      <w:r>
        <w:rPr>
          <w:color w:val="374151"/>
          <w:sz w:val="22"/>
          <w:szCs w:val="22"/>
        </w:rPr>
        <w:t xml:space="preserve">How the final decision is acknowledged: [Method]</w:t>
      </w:r>
    </w:p>
    <w:p>
      <w:pPr>
        <w:pStyle w:val="Heading2"/>
        <w:spacing w:after="180" w:before="360"/>
      </w:pPr>
      <w:r>
        <w:rPr>
          <w:b/>
          <w:bCs/>
          <w:color w:val="1F2937"/>
          <w:sz w:val="26"/>
          <w:szCs w:val="26"/>
        </w:rPr>
        <w:t xml:space="preserve">5. Confidential topics</w:t>
      </w:r>
    </w:p>
    <w:p>
      <w:pPr>
        <w:spacing w:after="180"/>
      </w:pPr>
      <w:r>
        <w:rPr>
          <w:color w:val="374151"/>
          <w:sz w:val="22"/>
          <w:szCs w:val="22"/>
        </w:rPr>
        <w:t xml:space="preserve">Sensitive founder, employee, customer, and financing topics need tighter channel and sharing boundaries.</w:t>
      </w:r>
    </w:p>
    <w:p>
      <w:pPr>
        <w:pStyle w:val="ListParagraph"/>
        <w:numPr>
          <w:ilvl w:val="0"/>
          <w:numId w:val="1"/>
        </w:numPr>
        <w:spacing w:after="120"/>
      </w:pPr>
      <w:r>
        <w:rPr>
          <w:color w:val="374151"/>
          <w:sz w:val="22"/>
          <w:szCs w:val="22"/>
        </w:rPr>
        <w:t xml:space="preserve">Topics treated as confidential: [List]</w:t>
      </w:r>
    </w:p>
    <w:p>
      <w:pPr>
        <w:pStyle w:val="ListParagraph"/>
        <w:numPr>
          <w:ilvl w:val="0"/>
          <w:numId w:val="1"/>
        </w:numPr>
        <w:spacing w:after="120"/>
      </w:pPr>
      <w:r>
        <w:rPr>
          <w:color w:val="374151"/>
          <w:sz w:val="22"/>
          <w:szCs w:val="22"/>
        </w:rPr>
        <w:t xml:space="preserve">Approved participants: [Names or roles]</w:t>
      </w:r>
    </w:p>
    <w:p>
      <w:pPr>
        <w:pStyle w:val="ListParagraph"/>
        <w:numPr>
          <w:ilvl w:val="0"/>
          <w:numId w:val="1"/>
        </w:numPr>
        <w:spacing w:after="120"/>
      </w:pPr>
      <w:r>
        <w:rPr>
          <w:color w:val="374151"/>
          <w:sz w:val="22"/>
          <w:szCs w:val="22"/>
        </w:rPr>
        <w:t xml:space="preserve">Approved channel or storage: [Location]</w:t>
      </w:r>
    </w:p>
    <w:p>
      <w:pPr>
        <w:pStyle w:val="ListParagraph"/>
        <w:numPr>
          <w:ilvl w:val="0"/>
          <w:numId w:val="1"/>
        </w:numPr>
        <w:spacing w:after="120"/>
      </w:pPr>
      <w:r>
        <w:rPr>
          <w:color w:val="374151"/>
          <w:sz w:val="22"/>
          <w:szCs w:val="22"/>
        </w:rPr>
        <w:t xml:space="preserve">Rule for external sharing: [Approval process]</w:t>
      </w:r>
    </w:p>
    <w:p>
      <w:pPr>
        <w:pStyle w:val="Heading2"/>
        <w:spacing w:after="180" w:before="360"/>
      </w:pPr>
      <w:r>
        <w:rPr>
          <w:b/>
          <w:bCs/>
          <w:color w:val="1F2937"/>
          <w:sz w:val="26"/>
          <w:szCs w:val="26"/>
        </w:rPr>
        <w:t xml:space="preserve">6. Norm review</w:t>
      </w:r>
    </w:p>
    <w:p>
      <w:pPr>
        <w:spacing w:after="180"/>
      </w:pPr>
      <w:r>
        <w:rPr>
          <w:color w:val="374151"/>
          <w:sz w:val="22"/>
          <w:szCs w:val="22"/>
        </w:rPr>
        <w:t xml:space="preserve">Regular review lets the team adjust norms when workload, time zones, or company stage changes.</w:t>
      </w:r>
    </w:p>
    <w:p>
      <w:pPr>
        <w:pStyle w:val="ListParagraph"/>
        <w:numPr>
          <w:ilvl w:val="0"/>
          <w:numId w:val="1"/>
        </w:numPr>
        <w:spacing w:after="120"/>
      </w:pPr>
      <w:r>
        <w:rPr>
          <w:color w:val="374151"/>
          <w:sz w:val="22"/>
          <w:szCs w:val="22"/>
        </w:rPr>
        <w:t xml:space="preserve">First review date: [Date]</w:t>
      </w:r>
    </w:p>
    <w:p>
      <w:pPr>
        <w:pStyle w:val="ListParagraph"/>
        <w:numPr>
          <w:ilvl w:val="0"/>
          <w:numId w:val="1"/>
        </w:numPr>
        <w:spacing w:after="120"/>
      </w:pPr>
      <w:r>
        <w:rPr>
          <w:color w:val="374151"/>
          <w:sz w:val="22"/>
          <w:szCs w:val="22"/>
        </w:rPr>
        <w:t xml:space="preserve">Friction signal to examine: [Signal]</w:t>
      </w:r>
    </w:p>
    <w:p>
      <w:pPr>
        <w:pStyle w:val="ListParagraph"/>
        <w:numPr>
          <w:ilvl w:val="0"/>
          <w:numId w:val="1"/>
        </w:numPr>
        <w:spacing w:after="120"/>
      </w:pPr>
      <w:r>
        <w:rPr>
          <w:color w:val="374151"/>
          <w:sz w:val="22"/>
          <w:szCs w:val="22"/>
        </w:rPr>
        <w:t xml:space="preserve">Norm owner: [Name]</w:t>
      </w:r>
    </w:p>
    <w:p>
      <w:pPr>
        <w:pStyle w:val="ListParagraph"/>
        <w:numPr>
          <w:ilvl w:val="0"/>
          <w:numId w:val="1"/>
        </w:numPr>
        <w:spacing w:after="120"/>
      </w:pPr>
      <w:r>
        <w:rPr>
          <w:color w:val="374151"/>
          <w:sz w:val="22"/>
          <w:szCs w:val="22"/>
        </w:rPr>
        <w:t xml:space="preserve">Change experiment: [Action and duration]</w:t>
      </w:r>
    </w:p>
    <w:p>
      <w:pPr>
        <w:pStyle w:val="Heading2"/>
        <w:spacing w:after="180" w:before="360"/>
      </w:pPr>
      <w:r>
        <w:rPr>
          <w:b/>
          <w:bCs/>
          <w:color w:val="1F2937"/>
          <w:sz w:val="26"/>
          <w:szCs w:val="26"/>
        </w:rPr>
        <w:t xml:space="preserve">Disclaimer</w:t>
      </w:r>
    </w:p>
    <w:p>
      <w:pPr>
        <w:spacing w:after="180"/>
      </w:pPr>
      <w:r>
        <w:rPr>
          <w:color w:val="374151"/>
          <w:sz w:val="22"/>
          <w:szCs w:val="22"/>
        </w:rPr>
        <w:t xml:space="preserve">This template is a decision aid rather than legal, tax, or financial advice. Adapt it to your obligations, policies, and working context.</w:t>
      </w:r>
    </w:p>
    <w:p>
      <w:pPr>
        <w:pStyle w:val="Heading2"/>
        <w:spacing w:after="180" w:before="360"/>
      </w:pPr>
      <w:r>
        <w:rPr>
          <w:b/>
          <w:bCs/>
          <w:color w:val="1F2937"/>
          <w:sz w:val="24"/>
          <w:szCs w:val="24"/>
        </w:rPr>
        <w:t xml:space="preserve">Next step</w:t>
      </w:r>
    </w:p>
    <w:p>
      <w:pPr>
        <w:spacing w:after="180"/>
      </w:pPr>
      <w:r>
        <w:rPr>
          <w:color w:val="374151"/>
          <w:sz w:val="22"/>
          <w:szCs w:val="22"/>
        </w:rPr>
        <w:t xml:space="preserve">Use this document to structure the conversation, then validate cofounder compatibility before signing final terms or splitting equity.</w:t>
      </w:r>
    </w:p>
    <w:p>
      <w:pPr>
        <w:spacing w:after="180"/>
      </w:pPr>
      <w:r>
        <w:rPr>
          <w:color w:val="374151"/>
          <w:sz w:val="22"/>
          <w:szCs w:val="22"/>
        </w:rPr>
        <w:t xml:space="preserve">Assessment: https://www.cofounderfit.com/assessment</w:t>
      </w:r>
    </w:p>
    <w:sectPr>
      <w:type w:val="continuous"/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2"/>
        <w:szCs w:val="22"/>
      </w:rPr>
    </w:rPrDefault>
    <w:pPrDefault>
      <w:pPr>
        <w:spacing w:line="276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image" Target="media/1535d596001bbea071bf5a35116e9b74d8997f0d.png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Founder Communication Norms Template</dc:title>
  <dc:subject>en; public-template-v1; founder-communication-norms-template; sha256:8fa4dba0899c4ad8026cbf05b24c0427a5fa2d4cae942e4469ccad964cfa1b38</dc:subject>
  <dc:creator>CofounderFit</dc:creator>
  <dc:description>Set founder channels, response expectations, written context, disagreement norms, confidential-topic rules, and review dates.</dc:description>
  <cp:lastModifiedBy>CofounderFit (en)</cp:lastModifiedBy>
  <cp:revision>1</cp:revision>
  <dcterms:created xsi:type="dcterms:W3CDTF">2026-08-24T22:15:42.340Z</dcterms:created>
  <dcterms:modified xsi:type="dcterms:W3CDTF">2026-08-24T22:15:42.340Z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