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drawing>
          <wp:inline distT="0" distB="0" distL="0" distR="0">
            <wp:extent cx="1714500" cy="457200"/>
            <wp:effectExtent t="0" r="0" b="0" l="0"/>
            <wp:docPr id="1" name="CofounderFit logo" descr="CofounderFit logo" title="Cofounder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b/>
          <w:bCs/>
          <w:color w:val="111827"/>
          <w:sz w:val="34"/>
          <w:szCs w:val="34"/>
        </w:rPr>
        <w:t xml:space="preserve">FOUNDER ALIGNMENT CONVERSATION GUIDE</w:t>
      </w:r>
    </w:p>
    <w:p>
      <w:pPr>
        <w:spacing w:after="360"/>
        <w:jc w:val="center"/>
      </w:pPr>
      <w:r>
        <w:rPr>
          <w:color w:val="6B7280"/>
          <w:sz w:val="20"/>
          <w:szCs w:val="20"/>
        </w:rPr>
        <w:t xml:space="preserve">Prepared by CofounderFit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Surface important differences early and turn them into concrete follow-ups rather than relying on assumed alignment.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Audience: Potential or current cofounders who need a structured, candid conversation before deepening commitment.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Generated: August 25, 2026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1. Personal motivation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Understanding why each founder is choosing this company reveals priorities that may later compete with its needs.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Why build this company now? [Answer]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What personal outcome matters most? [Answer]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What would make the journey no longer worthwhile? [Answer]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Which outside commitments must be protected? [Answer]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2. Vision and ambition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Aligned ambition matters because growth pace, ownership, funding, and exit decisions follow from the desired destination.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Company impact in five years: [Vision]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Preferred scale and pace: [Outcome]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Funding or independence preference: [View]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Success and acceptable outcome: [Definitions]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3. Roles and decisions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Role and authority expectations should be discussed before titles become proxies for status or control.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Work each founder wants to own: [Areas]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Work each founder should not own: [Areas]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Decisions requiring joint approval: [List]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Deadlock approach: [Preferred process]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4. Risk and runway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Different financial and personal risk capacities can create pressure even when founders share the same ambition.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Personal runway and constraints: [Range or boundaries]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Commitment start date: [Date]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Salary expectation and threshold: [Expectation]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Response if funding takes longer: [Plan]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5. Equity and vesting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Discussing ownership logic early reveals beliefs about fairness, contribution, protection, and long-term commitment.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Fairness principles for equity: [Principles]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Contribution evidence that matters: [Evidence]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Vesting and cliff expectations: [Expectations]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Process for changing terms: [Process]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6. Conflict and departure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Planning for hard moments while trust is intact makes future conflict and separation less destabilizing.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How each founder behaves under stress: [Reflection]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Conflict behavior that is unacceptable: [Boundary]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When to seek neutral help: [Trigger]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Fair departure principles: [Principles]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Disclaimer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This conversation guide is a decision aid rather than legal, tax, or financial advice. Obtain qualified review before formalizing equity, vesting, or departure terms.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4"/>
          <w:szCs w:val="24"/>
        </w:rPr>
        <w:t xml:space="preserve">Next step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this document to structure the conversation, then validate cofounder compatibility before signing final terms or splitting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Assessment: https://www.cofounderfit.com/assessment</w:t>
      </w:r>
    </w:p>
    <w:sectPr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535d596001bbea071bf5a35116e9b74d8997f0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Founder Alignment Conversation Guide</dc:title>
  <dc:subject>en; public-template-v1; founder-alignment-conversation-guide; sha256:7bb10752f2b0d3b22b81c5561e38358ab0f90730d65d9f801be11a6c15f97763</dc:subject>
  <dc:creator>CofounderFit</dc:creator>
  <dc:description>Guide a founder alignment conversation across motivation, ambition, roles, risk, equity, conflict, and departure.</dc:description>
  <cp:lastModifiedBy>CofounderFit (en)</cp:lastModifiedBy>
  <cp:revision>1</cp:revision>
  <dcterms:created xsi:type="dcterms:W3CDTF">2026-08-25T00:16:20.029Z</dcterms:created>
  <dcterms:modified xsi:type="dcterms:W3CDTF">2026-08-25T00:16:20.029Z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