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300"/>
        <w:jc w:val="center"/>
      </w:pPr>
      <w:r>
        <w:drawing>
          <wp:inline distT="0" distB="0" distL="0" distR="0">
            <wp:extent cx="1714500" cy="457200"/>
            <wp:effectExtent t="0" r="0" b="0" l="0"/>
            <wp:docPr id="1" name="CofounderFit logo" descr="CofounderFit logo" title="CofounderFi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 descr=""/>
                    <pic:cNvPicPr>
                      <a:picLocks noChangeAspect="1" noChangeArrowheads="1"/>
                    </pic:cNvPicPr>
                  </pic:nvPicPr>
                  <pic:blipFill>
                    <a:blip r:embed="rId7" cstate="none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4500" cy="457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240"/>
        <w:jc w:val="center"/>
      </w:pPr>
      <w:r>
        <w:rPr>
          <w:b/>
          <w:bCs/>
          <w:color w:val="111827"/>
          <w:sz w:val="34"/>
          <w:szCs w:val="34"/>
        </w:rPr>
        <w:t xml:space="preserve">DYNAMIC EQUITY DISCUSSION WORKSHEET</w:t>
      </w:r>
    </w:p>
    <w:p>
      <w:pPr>
        <w:spacing w:after="360"/>
        <w:jc w:val="center"/>
      </w:pPr>
      <w:r>
        <w:rPr>
          <w:color w:val="6B7280"/>
          <w:sz w:val="20"/>
          <w:szCs w:val="20"/>
        </w:rPr>
        <w:t xml:space="preserve">Prepared by CofounderFit</w:t>
      </w:r>
    </w:p>
    <w:p>
      <w:pPr>
        <w:spacing w:after="180"/>
      </w:pPr>
      <w:r>
        <w:rPr>
          <w:color w:val="374151"/>
          <w:sz w:val="22"/>
          <w:szCs w:val="22"/>
        </w:rPr>
        <w:t xml:space="preserve">Turn uncertain contributions into a documented review process without presenting a formula as the answer.</w:t>
      </w:r>
    </w:p>
    <w:p>
      <w:pPr>
        <w:spacing w:after="180"/>
      </w:pPr>
      <w:r>
        <w:rPr>
          <w:color w:val="374151"/>
          <w:sz w:val="22"/>
          <w:szCs w:val="22"/>
        </w:rPr>
        <w:t xml:space="preserve">Audience: Early founder teams whose contributions are still changing and who need a disciplined equity conversation.</w:t>
      </w:r>
    </w:p>
    <w:p>
      <w:pPr>
        <w:spacing w:after="180"/>
      </w:pPr>
      <w:r>
        <w:rPr>
          <w:color w:val="374151"/>
          <w:sz w:val="22"/>
          <w:szCs w:val="22"/>
        </w:rPr>
        <w:t xml:space="preserve">Generated: August 25, 2026</w:t>
      </w:r>
    </w:p>
    <w:p>
      <w:pPr>
        <w:pStyle w:val="Heading2"/>
        <w:spacing w:after="180" w:before="360"/>
      </w:pPr>
      <w:r>
        <w:rPr>
          <w:b/>
          <w:bCs/>
          <w:color w:val="1F2937"/>
          <w:sz w:val="26"/>
          <w:szCs w:val="26"/>
        </w:rPr>
        <w:t xml:space="preserve">1. Contribution baseline</w:t>
      </w:r>
    </w:p>
    <w:p>
      <w:pPr>
        <w:spacing w:after="180"/>
      </w:pPr>
      <w:r>
        <w:rPr>
          <w:color w:val="374151"/>
          <w:sz w:val="22"/>
          <w:szCs w:val="22"/>
        </w:rPr>
        <w:t xml:space="preserve">A shared starting point matters because later adjustments become contentious when founders remember the original bargain differently.</w:t>
      </w:r>
    </w:p>
    <w:p>
      <w:pPr>
        <w:pStyle w:val="ListParagraph"/>
        <w:numPr>
          <w:ilvl w:val="0"/>
          <w:numId w:val="1"/>
        </w:numPr>
        <w:spacing w:after="120"/>
      </w:pPr>
      <w:r>
        <w:rPr>
          <w:color w:val="374151"/>
          <w:sz w:val="22"/>
          <w:szCs w:val="22"/>
        </w:rPr>
        <w:t xml:space="preserve">Founder and current role: [Name and role]</w:t>
      </w:r>
    </w:p>
    <w:p>
      <w:pPr>
        <w:pStyle w:val="ListParagraph"/>
        <w:numPr>
          <w:ilvl w:val="0"/>
          <w:numId w:val="1"/>
        </w:numPr>
        <w:spacing w:after="120"/>
      </w:pPr>
      <w:r>
        <w:rPr>
          <w:color w:val="374151"/>
          <w:sz w:val="22"/>
          <w:szCs w:val="22"/>
        </w:rPr>
        <w:t xml:space="preserve">Current time commitment: [Hours or full-time status]</w:t>
      </w:r>
    </w:p>
    <w:p>
      <w:pPr>
        <w:pStyle w:val="ListParagraph"/>
        <w:numPr>
          <w:ilvl w:val="0"/>
          <w:numId w:val="1"/>
        </w:numPr>
        <w:spacing w:after="120"/>
      </w:pPr>
      <w:r>
        <w:rPr>
          <w:color w:val="374151"/>
          <w:sz w:val="22"/>
          <w:szCs w:val="22"/>
        </w:rPr>
        <w:t xml:space="preserve">Responsibilities already delivered: [Evidence]</w:t>
      </w:r>
    </w:p>
    <w:p>
      <w:pPr>
        <w:pStyle w:val="ListParagraph"/>
        <w:numPr>
          <w:ilvl w:val="0"/>
          <w:numId w:val="1"/>
        </w:numPr>
        <w:spacing w:after="120"/>
      </w:pPr>
      <w:r>
        <w:rPr>
          <w:color w:val="374151"/>
          <w:sz w:val="22"/>
          <w:szCs w:val="22"/>
        </w:rPr>
        <w:t xml:space="preserve">Initial equity understanding: [Percentage or unresolved]</w:t>
      </w:r>
    </w:p>
    <w:p>
      <w:pPr>
        <w:pStyle w:val="Heading2"/>
        <w:spacing w:after="180" w:before="360"/>
      </w:pPr>
      <w:r>
        <w:rPr>
          <w:b/>
          <w:bCs/>
          <w:color w:val="1F2937"/>
          <w:sz w:val="26"/>
          <w:szCs w:val="26"/>
        </w:rPr>
        <w:t xml:space="preserve">2. Time and opportunity cost</w:t>
      </w:r>
    </w:p>
    <w:p>
      <w:pPr>
        <w:spacing w:after="180"/>
      </w:pPr>
      <w:r>
        <w:rPr>
          <w:color w:val="374151"/>
          <w:sz w:val="22"/>
          <w:szCs w:val="22"/>
        </w:rPr>
        <w:t xml:space="preserve">Visible tradeoffs help founders compare commitment without assuming that every hour or sacrifice has identical value.</w:t>
      </w:r>
    </w:p>
    <w:p>
      <w:pPr>
        <w:pStyle w:val="ListParagraph"/>
        <w:numPr>
          <w:ilvl w:val="0"/>
          <w:numId w:val="1"/>
        </w:numPr>
        <w:spacing w:after="120"/>
      </w:pPr>
      <w:r>
        <w:rPr>
          <w:color w:val="374151"/>
          <w:sz w:val="22"/>
          <w:szCs w:val="22"/>
        </w:rPr>
        <w:t xml:space="preserve">Expected weekly commitment: [Hours]</w:t>
      </w:r>
    </w:p>
    <w:p>
      <w:pPr>
        <w:pStyle w:val="ListParagraph"/>
        <w:numPr>
          <w:ilvl w:val="0"/>
          <w:numId w:val="1"/>
        </w:numPr>
        <w:spacing w:after="120"/>
      </w:pPr>
      <w:r>
        <w:rPr>
          <w:color w:val="374151"/>
          <w:sz w:val="22"/>
          <w:szCs w:val="22"/>
        </w:rPr>
        <w:t xml:space="preserve">Foregone salary or work: [Description]</w:t>
      </w:r>
    </w:p>
    <w:p>
      <w:pPr>
        <w:pStyle w:val="ListParagraph"/>
        <w:numPr>
          <w:ilvl w:val="0"/>
          <w:numId w:val="1"/>
        </w:numPr>
        <w:spacing w:after="120"/>
      </w:pPr>
      <w:r>
        <w:rPr>
          <w:color w:val="374151"/>
          <w:sz w:val="22"/>
          <w:szCs w:val="22"/>
        </w:rPr>
        <w:t xml:space="preserve">Date full-time commitment begins: [Date]</w:t>
      </w:r>
    </w:p>
    <w:p>
      <w:pPr>
        <w:pStyle w:val="ListParagraph"/>
        <w:numPr>
          <w:ilvl w:val="0"/>
          <w:numId w:val="1"/>
        </w:numPr>
        <w:spacing w:after="120"/>
      </w:pPr>
      <w:r>
        <w:rPr>
          <w:color w:val="374151"/>
          <w:sz w:val="22"/>
          <w:szCs w:val="22"/>
        </w:rPr>
        <w:t xml:space="preserve">Personal constraints to disclose: [Constraints]</w:t>
      </w:r>
    </w:p>
    <w:p>
      <w:pPr>
        <w:pStyle w:val="Heading2"/>
        <w:spacing w:after="180" w:before="360"/>
      </w:pPr>
      <w:r>
        <w:rPr>
          <w:b/>
          <w:bCs/>
          <w:color w:val="1F2937"/>
          <w:sz w:val="26"/>
          <w:szCs w:val="26"/>
        </w:rPr>
        <w:t xml:space="preserve">3. Capital and IP</w:t>
      </w:r>
    </w:p>
    <w:p>
      <w:pPr>
        <w:spacing w:after="180"/>
      </w:pPr>
      <w:r>
        <w:rPr>
          <w:color w:val="374151"/>
          <w:sz w:val="22"/>
          <w:szCs w:val="22"/>
        </w:rPr>
        <w:t xml:space="preserve">Cash and intellectual property require separate discussion because ownership, reimbursement, and company use can have lasting consequences.</w:t>
      </w:r>
    </w:p>
    <w:p>
      <w:pPr>
        <w:pStyle w:val="ListParagraph"/>
        <w:numPr>
          <w:ilvl w:val="0"/>
          <w:numId w:val="1"/>
        </w:numPr>
        <w:spacing w:after="120"/>
      </w:pPr>
      <w:r>
        <w:rPr>
          <w:color w:val="374151"/>
          <w:sz w:val="22"/>
          <w:szCs w:val="22"/>
        </w:rPr>
        <w:t xml:space="preserve">Cash contributed or committed: [Amount and date]</w:t>
      </w:r>
    </w:p>
    <w:p>
      <w:pPr>
        <w:pStyle w:val="ListParagraph"/>
        <w:numPr>
          <w:ilvl w:val="0"/>
          <w:numId w:val="1"/>
        </w:numPr>
        <w:spacing w:after="120"/>
      </w:pPr>
      <w:r>
        <w:rPr>
          <w:color w:val="374151"/>
          <w:sz w:val="22"/>
          <w:szCs w:val="22"/>
        </w:rPr>
        <w:t xml:space="preserve">Pre-existing IP offered: [Asset and ownership]</w:t>
      </w:r>
    </w:p>
    <w:p>
      <w:pPr>
        <w:pStyle w:val="ListParagraph"/>
        <w:numPr>
          <w:ilvl w:val="0"/>
          <w:numId w:val="1"/>
        </w:numPr>
        <w:spacing w:after="120"/>
      </w:pPr>
      <w:r>
        <w:rPr>
          <w:color w:val="374151"/>
          <w:sz w:val="22"/>
          <w:szCs w:val="22"/>
        </w:rPr>
        <w:t xml:space="preserve">Expense reimbursement expectation: [Terms to discuss]</w:t>
      </w:r>
    </w:p>
    <w:p>
      <w:pPr>
        <w:pStyle w:val="ListParagraph"/>
        <w:numPr>
          <w:ilvl w:val="0"/>
          <w:numId w:val="1"/>
        </w:numPr>
        <w:spacing w:after="120"/>
      </w:pPr>
      <w:r>
        <w:rPr>
          <w:color w:val="374151"/>
          <w:sz w:val="22"/>
          <w:szCs w:val="22"/>
        </w:rPr>
        <w:t xml:space="preserve">Evidence or documentation needed: [Documents]</w:t>
      </w:r>
    </w:p>
    <w:p>
      <w:pPr>
        <w:pStyle w:val="Heading2"/>
        <w:spacing w:after="180" w:before="360"/>
      </w:pPr>
      <w:r>
        <w:rPr>
          <w:b/>
          <w:bCs/>
          <w:color w:val="1F2937"/>
          <w:sz w:val="26"/>
          <w:szCs w:val="26"/>
        </w:rPr>
        <w:t xml:space="preserve">4. Review cadence</w:t>
      </w:r>
    </w:p>
    <w:p>
      <w:pPr>
        <w:spacing w:after="180"/>
      </w:pPr>
      <w:r>
        <w:rPr>
          <w:color w:val="374151"/>
          <w:sz w:val="22"/>
          <w:szCs w:val="22"/>
        </w:rPr>
        <w:t xml:space="preserve">A scheduled review prevents equity from being renegotiated only after frustration or a major imbalance appears.</w:t>
      </w:r>
    </w:p>
    <w:p>
      <w:pPr>
        <w:pStyle w:val="ListParagraph"/>
        <w:numPr>
          <w:ilvl w:val="0"/>
          <w:numId w:val="1"/>
        </w:numPr>
        <w:spacing w:after="120"/>
      </w:pPr>
      <w:r>
        <w:rPr>
          <w:color w:val="374151"/>
          <w:sz w:val="22"/>
          <w:szCs w:val="22"/>
        </w:rPr>
        <w:t xml:space="preserve">First review date: [Date]</w:t>
      </w:r>
    </w:p>
    <w:p>
      <w:pPr>
        <w:pStyle w:val="ListParagraph"/>
        <w:numPr>
          <w:ilvl w:val="0"/>
          <w:numId w:val="1"/>
        </w:numPr>
        <w:spacing w:after="120"/>
      </w:pPr>
      <w:r>
        <w:rPr>
          <w:color w:val="374151"/>
          <w:sz w:val="22"/>
          <w:szCs w:val="22"/>
        </w:rPr>
        <w:t xml:space="preserve">Recurring cadence: [Monthly or quarterly]</w:t>
      </w:r>
    </w:p>
    <w:p>
      <w:pPr>
        <w:pStyle w:val="ListParagraph"/>
        <w:numPr>
          <w:ilvl w:val="0"/>
          <w:numId w:val="1"/>
        </w:numPr>
        <w:spacing w:after="120"/>
      </w:pPr>
      <w:r>
        <w:rPr>
          <w:color w:val="374151"/>
          <w:sz w:val="22"/>
          <w:szCs w:val="22"/>
        </w:rPr>
        <w:t xml:space="preserve">Evidence reviewed: [Deliverables, time, capital, responsibility]</w:t>
      </w:r>
    </w:p>
    <w:p>
      <w:pPr>
        <w:pStyle w:val="ListParagraph"/>
        <w:numPr>
          <w:ilvl w:val="0"/>
          <w:numId w:val="1"/>
        </w:numPr>
        <w:spacing w:after="120"/>
      </w:pPr>
      <w:r>
        <w:rPr>
          <w:color w:val="374151"/>
          <w:sz w:val="22"/>
          <w:szCs w:val="22"/>
        </w:rPr>
        <w:t xml:space="preserve">Facilitator and note owner: [Name]</w:t>
      </w:r>
    </w:p>
    <w:p>
      <w:pPr>
        <w:pStyle w:val="Heading2"/>
        <w:spacing w:after="180" w:before="360"/>
      </w:pPr>
      <w:r>
        <w:rPr>
          <w:b/>
          <w:bCs/>
          <w:color w:val="1F2937"/>
          <w:sz w:val="26"/>
          <w:szCs w:val="26"/>
        </w:rPr>
        <w:t xml:space="preserve">5. Adjustment triggers</w:t>
      </w:r>
    </w:p>
    <w:p>
      <w:pPr>
        <w:spacing w:after="180"/>
      </w:pPr>
      <w:r>
        <w:rPr>
          <w:color w:val="374151"/>
          <w:sz w:val="22"/>
          <w:szCs w:val="22"/>
        </w:rPr>
        <w:t xml:space="preserve">Pre-agreed triggers make it easier to distinguish a material contribution change from a temporary fluctuation.</w:t>
      </w:r>
    </w:p>
    <w:p>
      <w:pPr>
        <w:pStyle w:val="ListParagraph"/>
        <w:numPr>
          <w:ilvl w:val="0"/>
          <w:numId w:val="1"/>
        </w:numPr>
        <w:spacing w:after="120"/>
      </w:pPr>
      <w:r>
        <w:rPr>
          <w:color w:val="374151"/>
          <w:sz w:val="22"/>
          <w:szCs w:val="22"/>
        </w:rPr>
        <w:t xml:space="preserve">Commitment change that triggers review: [Threshold]</w:t>
      </w:r>
    </w:p>
    <w:p>
      <w:pPr>
        <w:pStyle w:val="ListParagraph"/>
        <w:numPr>
          <w:ilvl w:val="0"/>
          <w:numId w:val="1"/>
        </w:numPr>
        <w:spacing w:after="120"/>
      </w:pPr>
      <w:r>
        <w:rPr>
          <w:color w:val="374151"/>
          <w:sz w:val="22"/>
          <w:szCs w:val="22"/>
        </w:rPr>
        <w:t xml:space="preserve">Role or responsibility trigger: [Event]</w:t>
      </w:r>
    </w:p>
    <w:p>
      <w:pPr>
        <w:pStyle w:val="ListParagraph"/>
        <w:numPr>
          <w:ilvl w:val="0"/>
          <w:numId w:val="1"/>
        </w:numPr>
        <w:spacing w:after="120"/>
      </w:pPr>
      <w:r>
        <w:rPr>
          <w:color w:val="374151"/>
          <w:sz w:val="22"/>
          <w:szCs w:val="22"/>
        </w:rPr>
        <w:t xml:space="preserve">Capital or IP trigger: [Event]</w:t>
      </w:r>
    </w:p>
    <w:p>
      <w:pPr>
        <w:pStyle w:val="ListParagraph"/>
        <w:numPr>
          <w:ilvl w:val="0"/>
          <w:numId w:val="1"/>
        </w:numPr>
        <w:spacing w:after="120"/>
      </w:pPr>
      <w:r>
        <w:rPr>
          <w:color w:val="374151"/>
          <w:sz w:val="22"/>
          <w:szCs w:val="22"/>
        </w:rPr>
        <w:t xml:space="preserve">Departure or extended absence trigger: [Event]</w:t>
      </w:r>
    </w:p>
    <w:p>
      <w:pPr>
        <w:pStyle w:val="Heading2"/>
        <w:spacing w:after="180" w:before="360"/>
      </w:pPr>
      <w:r>
        <w:rPr>
          <w:b/>
          <w:bCs/>
          <w:color w:val="1F2937"/>
          <w:sz w:val="26"/>
          <w:szCs w:val="26"/>
        </w:rPr>
        <w:t xml:space="preserve">6. Decision record</w:t>
      </w:r>
    </w:p>
    <w:p>
      <w:pPr>
        <w:spacing w:after="180"/>
      </w:pPr>
      <w:r>
        <w:rPr>
          <w:color w:val="374151"/>
          <w:sz w:val="22"/>
          <w:szCs w:val="22"/>
        </w:rPr>
        <w:t xml:space="preserve">A concise record protects trust by showing what was decided, why it was decided, and what remains open.</w:t>
      </w:r>
    </w:p>
    <w:p>
      <w:pPr>
        <w:pStyle w:val="ListParagraph"/>
        <w:numPr>
          <w:ilvl w:val="0"/>
          <w:numId w:val="1"/>
        </w:numPr>
        <w:spacing w:after="120"/>
      </w:pPr>
      <w:r>
        <w:rPr>
          <w:color w:val="374151"/>
          <w:sz w:val="22"/>
          <w:szCs w:val="22"/>
        </w:rPr>
        <w:t xml:space="preserve">Decision and effective date: [Decision]</w:t>
      </w:r>
    </w:p>
    <w:p>
      <w:pPr>
        <w:pStyle w:val="ListParagraph"/>
        <w:numPr>
          <w:ilvl w:val="0"/>
          <w:numId w:val="1"/>
        </w:numPr>
        <w:spacing w:after="120"/>
      </w:pPr>
      <w:r>
        <w:rPr>
          <w:color w:val="374151"/>
          <w:sz w:val="22"/>
          <w:szCs w:val="22"/>
        </w:rPr>
        <w:t xml:space="preserve">Evidence considered: [Summary]</w:t>
      </w:r>
    </w:p>
    <w:p>
      <w:pPr>
        <w:pStyle w:val="ListParagraph"/>
        <w:numPr>
          <w:ilvl w:val="0"/>
          <w:numId w:val="1"/>
        </w:numPr>
        <w:spacing w:after="120"/>
      </w:pPr>
      <w:r>
        <w:rPr>
          <w:color w:val="374151"/>
          <w:sz w:val="22"/>
          <w:szCs w:val="22"/>
        </w:rPr>
        <w:t xml:space="preserve">Open disagreement: [Issue or none]</w:t>
      </w:r>
    </w:p>
    <w:p>
      <w:pPr>
        <w:pStyle w:val="ListParagraph"/>
        <w:numPr>
          <w:ilvl w:val="0"/>
          <w:numId w:val="1"/>
        </w:numPr>
        <w:spacing w:after="120"/>
      </w:pPr>
      <w:r>
        <w:rPr>
          <w:color w:val="374151"/>
          <w:sz w:val="22"/>
          <w:szCs w:val="22"/>
        </w:rPr>
        <w:t xml:space="preserve">Next review and owners: [Date and names]</w:t>
      </w:r>
    </w:p>
    <w:p>
      <w:pPr>
        <w:pStyle w:val="Heading2"/>
        <w:spacing w:after="180" w:before="360"/>
      </w:pPr>
      <w:r>
        <w:rPr>
          <w:b/>
          <w:bCs/>
          <w:color w:val="1F2937"/>
          <w:sz w:val="26"/>
          <w:szCs w:val="26"/>
        </w:rPr>
        <w:t xml:space="preserve">Disclaimer</w:t>
      </w:r>
    </w:p>
    <w:p>
      <w:pPr>
        <w:spacing w:after="180"/>
      </w:pPr>
      <w:r>
        <w:rPr>
          <w:color w:val="374151"/>
          <w:sz w:val="22"/>
          <w:szCs w:val="22"/>
        </w:rPr>
        <w:t xml:space="preserve">This worksheet is a decision aid and does not constitute legal, tax, or financial advice. Obtain qualified advice before changing ownership or issuing equity.</w:t>
      </w:r>
    </w:p>
    <w:p>
      <w:pPr>
        <w:pStyle w:val="Heading2"/>
        <w:spacing w:after="180" w:before="360"/>
      </w:pPr>
      <w:r>
        <w:rPr>
          <w:b/>
          <w:bCs/>
          <w:color w:val="1F2937"/>
          <w:sz w:val="24"/>
          <w:szCs w:val="24"/>
        </w:rPr>
        <w:t xml:space="preserve">Next step</w:t>
      </w:r>
    </w:p>
    <w:p>
      <w:pPr>
        <w:spacing w:after="180"/>
      </w:pPr>
      <w:r>
        <w:rPr>
          <w:color w:val="374151"/>
          <w:sz w:val="22"/>
          <w:szCs w:val="22"/>
        </w:rPr>
        <w:t xml:space="preserve">Use this document to structure the conversation, then validate cofounder compatibility before signing final terms or splitting equity.</w:t>
      </w:r>
    </w:p>
    <w:p>
      <w:pPr>
        <w:spacing w:after="180"/>
      </w:pPr>
      <w:r>
        <w:rPr>
          <w:color w:val="374151"/>
          <w:sz w:val="22"/>
          <w:szCs w:val="22"/>
        </w:rPr>
        <w:t xml:space="preserve">Assessment: https://www.cofounderfit.com/assessment</w:t>
      </w:r>
    </w:p>
    <w:sectPr>
      <w:type w:val="continuous"/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cs="Times New Roman" w:eastAsia="Times New Roman" w:hAnsi="Times New Roman"/>
        <w:sz w:val="22"/>
        <w:szCs w:val="22"/>
      </w:rPr>
    </w:rPrDefault>
    <w:pPrDefault>
      <w:pPr>
        <w:spacing w:line="276"/>
      </w:pPr>
    </w:pPrDefault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image" Target="media/1535d596001bbea071bf5a35116e9b74d8997f0d.png"/><Relationship Id="rId8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Dynamic Equity Discussion Worksheet</dc:title>
  <dc:subject>en; public-template-v1; dynamic-equity-discussion-worksheet; sha256:9a5e717aad3b61fd2c722224989a9b2040aec056516e92a2f154022014df906f</dc:subject>
  <dc:creator>CofounderFit</dc:creator>
  <dc:description>Use a dynamic equity discussion worksheet to compare evolving founder contributions, agree review triggers, and record decisions.</dc:description>
  <cp:lastModifiedBy>CofounderFit (en)</cp:lastModifiedBy>
  <cp:revision>1</cp:revision>
  <dcterms:created xsi:type="dcterms:W3CDTF">2026-08-25T22:12:06.048Z</dcterms:created>
  <dcterms:modified xsi:type="dcterms:W3CDTF">2026-08-25T22:12:06.048Z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