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COFOUNDER CONFLICT RESOLUTION AGREEMENT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Create a practical conflict draft that can be reconciled with company agreements through jurisdiction-specific legal review.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 pairs who want a shared conflict process before stress turns ordinary disagreement into relationship damage.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24,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Early warning signs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Naming recognizable signals helps founders intervene while a disagreement is still specific and repairable.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Behavior that signals avoidance: [Example]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Behavior that signals escalation: [Example]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Operational impact to watch: [Signal]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Phrase either founder can use to pause: [Words]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Direct conversation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first direct conversation preserves agency and reduces the chance that founders recruit allies before speaking to each other.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Time frame for raising the issue: [Period]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Private setting and duration: [Details]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Issue statement format: [Observation and impact]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Outcome requested: [Decision or change]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Cooling-off rule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bounded pause can restore judgment without letting avoidance become an indefinite substitute for resolution.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When a pause may be called: [Condition]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Minimum and maximum duration: [Period]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Urgent work that continues: [Scope]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Date and owner for resuming: [Details]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Evidence and impact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Separating observable events from interpretations makes the conflict easier to discuss and reduces attacks on character.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Observed event: [Specific example]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Operational or relationship impact: [Impact]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Different interpretations: [Views]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Evidence needed to decide: [Information]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Mediation path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neutral path gives the founders structured help before the dispute threatens company operations or formal rights.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Trigger for mediation: [Condition]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Mediator selection method: [Process]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Confidentiality expectations: [Terms for review]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Escalation after unsuccessful mediation: [Process]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Repair and follow-up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Resolution is incomplete without a behavioral commitment and follow-up that tests whether trust and operations recover.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Agreed behavior change: [Commitment]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Operational remedy: [Action]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Follow-up date: [Date]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Evidence that repair is working: [Signal]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Legal 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draft is informational and does not constitute legal advice. Qualified counsel must review it for your jurisdiction and reconcile it with governing agreements before adoption or signature.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Cofounder Conflict Resolution Agreement</dc:title>
  <dc:subject>en; public-template-v1; cofounder-conflict-resolution-agreement; sha256:48237b3ba3ae6963f9141c48bb2f6f68f9a1476a60b5bc43eef53a27a2aeb40c</dc:subject>
  <dc:creator>CofounderFit</dc:creator>
  <dc:description>Draft a cofounder conflict process covering warning signs, direct conversation, cooling off, mediation, and repair.</dc:description>
  <cp:lastModifiedBy>CofounderFit (en)</cp:lastModifiedBy>
  <cp:revision>1</cp:revision>
  <dcterms:created xsi:type="dcterms:W3CDTF">2026-08-24T09:09:24.475Z</dcterms:created>
  <dcterms:modified xsi:type="dcterms:W3CDTF">2026-08-24T09:09:24.475Z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