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drawing>
          <wp:inline distT="0" distB="0" distL="0" distR="0">
            <wp:extent cx="1714500" cy="457200"/>
            <wp:effectExtent t="0" r="0" b="0" l="0"/>
            <wp:docPr id="1" name="CofounderFit logo" descr="CofounderFit logo" title="Cofounder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b/>
          <w:bCs/>
          <w:color w:val="111827"/>
          <w:sz w:val="34"/>
          <w:szCs w:val="34"/>
        </w:rPr>
        <w:t xml:space="preserve">COFOUNDER BUYOUT DISCUSSION WORKSHEET</w:t>
      </w:r>
    </w:p>
    <w:p>
      <w:pPr>
        <w:spacing w:after="360"/>
        <w:jc w:val="center"/>
      </w:pPr>
      <w:r>
        <w:rPr>
          <w:color w:val="6B7280"/>
          <w:sz w:val="20"/>
          <w:szCs w:val="20"/>
        </w:rPr>
        <w:t xml:space="preserve">Prepared by CofounderFit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Organize the questions for a constructive advisor-led discussion without presenting a price, valuation, or binding term.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Audience: Founders exploring a possible buyout who need to separate operating objectives from facts and unverified valuation assumptions.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Generated: August 24, 2026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1. Trigger and objectives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Clarifying the trigger and each party's objective prevents a buyout conversation from collapsing into a single disputed number.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Event prompting discussion: [Event]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Departing founder objective: [Objective]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Remaining founder or company objective: [Objective]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Non-negotiable continuity need: [Need]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2. Ownership facts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Verified ownership facts are essential because memory and cap-table assumptions may differ from executed company documents.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Security type and holder: [Details]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Issued, vested, and unvested amounts: [Amounts and date]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Transfer or repurchase documents: [List]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Disputed or missing record: [Item]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3. Valuation assumptions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Making assumptions visible lets qualified advisors test them rather than allowing a speculative figure to anchor the negotiation.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Valuation date and purpose: [Details]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Company evidence considered: [Evidence]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Uncertainty or discount assumption: [Assumption]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Independent valuation input needed: [Scope]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4. Payment options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Comparing structures reveals cash, timing, security, and tax questions that a headline amount alone conceals.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Immediate payment option: [Terms to explore]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Installment option: [Timing and conditions]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Contingent payment option: [Trigger]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Security, default, and tax questions: [For advisors]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5. Operational transition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Buyout economics and operating continuity must be coordinated so the company is not left without access, context, or relationship owners.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Final working date: [Date]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Responsibilities and knowledge transferred: [Plan]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Customer, team, and investor communication: [Plan]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IP, devices, and account access: [Plan]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6. Advisor review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Independent professional review is necessary because authority, valuation, tax, securities, and contract effects depend on specific facts.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Company counsel review: [Owner and scope]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Separate founder counsel: [Owner and scope]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Tax or valuation advice: [Owner and scope]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Documents and approvals required: [List]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Disclaimer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This worksheet is a discussion and decision aid, not legal, tax, financial, or valuation advice. Obtain independent qualified advice before proposing or agreeing to terms.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4"/>
          <w:szCs w:val="24"/>
        </w:rPr>
        <w:t xml:space="preserve">Next step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Use this document to structure the conversation, then validate cofounder compatibility before signing final terms or splitting equity.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Assessment: https://www.cofounderfit.com/assessment</w:t>
      </w:r>
    </w:p>
    <w:sectPr>
      <w:type w:val="continuous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535d596001bbea071bf5a35116e9b74d8997f0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Cofounder Buyout Discussion Worksheet</dc:title>
  <dc:subject>en; public-template-v1; cofounder-buyout-discussion-worksheet; sha256:4294872383feb00de397af12c2964f36a22c395c1bac4cb58e33d0029877a2f3</dc:subject>
  <dc:creator>CofounderFit</dc:creator>
  <dc:description>Prepare a cofounder buyout discussion covering objectives, ownership facts, valuation assumptions, payments, transition, and advisors.</dc:description>
  <cp:lastModifiedBy>CofounderFit (en)</cp:lastModifiedBy>
  <cp:revision>1</cp:revision>
  <dcterms:created xsi:type="dcterms:W3CDTF">2026-08-24T05:14:11.538Z</dcterms:created>
  <dcterms:modified xsi:type="dcterms:W3CDTF">2026-08-24T05:14:11.538Z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